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8C397" w14:textId="77777777" w:rsidR="00D671FF" w:rsidRDefault="00890AEE" w:rsidP="00D671FF">
      <w:pPr>
        <w:pStyle w:val="Heading2"/>
      </w:pPr>
      <w:bookmarkStart w:id="0" w:name="_Toc507494746"/>
      <w:bookmarkStart w:id="1" w:name="_Toc507495493"/>
      <w:r>
        <w:t>Intake Model</w:t>
      </w:r>
      <w:r w:rsidR="00D671FF">
        <w:t>s</w:t>
      </w:r>
      <w:bookmarkEnd w:id="0"/>
      <w:bookmarkEnd w:id="1"/>
      <w:r>
        <w:t xml:space="preserve"> and Class Size </w:t>
      </w:r>
    </w:p>
    <w:p w14:paraId="0258C398" w14:textId="77777777" w:rsidR="00D671FF" w:rsidRPr="00521770" w:rsidRDefault="00D671FF" w:rsidP="00521770">
      <w:pPr>
        <w:spacing w:after="0"/>
        <w:rPr>
          <w:b/>
        </w:rPr>
      </w:pPr>
    </w:p>
    <w:bookmarkStart w:id="2" w:name="_Toc507494747"/>
    <w:bookmarkStart w:id="3" w:name="_Toc507495494"/>
    <w:p w14:paraId="74E2AC58" w14:textId="6B9CCCB1" w:rsidR="00617B62" w:rsidRDefault="00521770">
      <w:pPr>
        <w:pStyle w:val="TOC1"/>
        <w:rPr>
          <w:rFonts w:asciiTheme="minorHAnsi" w:eastAsiaTheme="minorEastAsia" w:hAnsiTheme="minorHAnsi"/>
          <w:noProof/>
          <w:color w:val="auto"/>
          <w:lang w:val="en-US"/>
        </w:rPr>
      </w:pPr>
      <w:r w:rsidRPr="00521770">
        <w:rPr>
          <w:rStyle w:val="Hyperlink"/>
          <w:rFonts w:eastAsiaTheme="minorEastAsia"/>
          <w:b/>
          <w:bCs/>
          <w:noProof/>
          <w:color w:val="4F81BD" w:themeColor="accent1"/>
          <w:lang w:val="en-US" w:eastAsia="ja-JP"/>
        </w:rPr>
        <w:fldChar w:fldCharType="begin"/>
      </w:r>
      <w:r w:rsidRPr="00521770">
        <w:rPr>
          <w:rStyle w:val="Hyperlink"/>
          <w:rFonts w:eastAsiaTheme="minorEastAsia"/>
          <w:b/>
          <w:bCs/>
          <w:noProof/>
          <w:color w:val="4F81BD" w:themeColor="accent1"/>
          <w:lang w:val="en-US" w:eastAsia="ja-JP"/>
        </w:rPr>
        <w:instrText xml:space="preserve"> TOC \h \z \u \t "Heading 3,1" </w:instrText>
      </w:r>
      <w:r w:rsidRPr="00521770">
        <w:rPr>
          <w:rStyle w:val="Hyperlink"/>
          <w:rFonts w:eastAsiaTheme="minorEastAsia"/>
          <w:b/>
          <w:bCs/>
          <w:noProof/>
          <w:color w:val="4F81BD" w:themeColor="accent1"/>
          <w:lang w:val="en-US" w:eastAsia="ja-JP"/>
        </w:rPr>
        <w:fldChar w:fldCharType="separate"/>
      </w:r>
      <w:hyperlink w:anchor="_Toc79496217" w:history="1">
        <w:r w:rsidR="00617B62" w:rsidRPr="00F23430">
          <w:rPr>
            <w:rStyle w:val="Hyperlink"/>
            <w:noProof/>
          </w:rPr>
          <w:t>1.</w:t>
        </w:r>
        <w:r w:rsidR="00617B62">
          <w:rPr>
            <w:rFonts w:asciiTheme="minorHAnsi" w:eastAsiaTheme="minorEastAsia" w:hAnsiTheme="minorHAnsi"/>
            <w:noProof/>
            <w:color w:val="auto"/>
            <w:lang w:val="en-US"/>
          </w:rPr>
          <w:tab/>
        </w:r>
        <w:r w:rsidR="00617B62" w:rsidRPr="00F23430">
          <w:rPr>
            <w:rStyle w:val="Hyperlink"/>
            <w:noProof/>
          </w:rPr>
          <w:t>What is an Intake Model, and why is it important?</w:t>
        </w:r>
        <w:r w:rsidR="00617B62">
          <w:rPr>
            <w:noProof/>
            <w:webHidden/>
          </w:rPr>
          <w:tab/>
        </w:r>
        <w:r w:rsidR="00617B62">
          <w:rPr>
            <w:noProof/>
            <w:webHidden/>
          </w:rPr>
          <w:fldChar w:fldCharType="begin"/>
        </w:r>
        <w:r w:rsidR="00617B62">
          <w:rPr>
            <w:noProof/>
            <w:webHidden/>
          </w:rPr>
          <w:instrText xml:space="preserve"> PAGEREF _Toc79496217 \h </w:instrText>
        </w:r>
        <w:r w:rsidR="00617B62">
          <w:rPr>
            <w:noProof/>
            <w:webHidden/>
          </w:rPr>
        </w:r>
        <w:r w:rsidR="00617B62">
          <w:rPr>
            <w:noProof/>
            <w:webHidden/>
          </w:rPr>
          <w:fldChar w:fldCharType="separate"/>
        </w:r>
        <w:r w:rsidR="00617B62">
          <w:rPr>
            <w:noProof/>
            <w:webHidden/>
          </w:rPr>
          <w:t>1</w:t>
        </w:r>
        <w:r w:rsidR="00617B62">
          <w:rPr>
            <w:noProof/>
            <w:webHidden/>
          </w:rPr>
          <w:fldChar w:fldCharType="end"/>
        </w:r>
      </w:hyperlink>
    </w:p>
    <w:p w14:paraId="36FA9B9D" w14:textId="0BE7F71B" w:rsidR="00617B62" w:rsidRDefault="00617B62">
      <w:pPr>
        <w:pStyle w:val="TOC1"/>
        <w:rPr>
          <w:rFonts w:asciiTheme="minorHAnsi" w:eastAsiaTheme="minorEastAsia" w:hAnsiTheme="minorHAnsi"/>
          <w:noProof/>
          <w:color w:val="auto"/>
          <w:lang w:val="en-US"/>
        </w:rPr>
      </w:pPr>
      <w:hyperlink w:anchor="_Toc79496218" w:history="1">
        <w:r w:rsidRPr="00F23430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/>
            <w:noProof/>
            <w:color w:val="auto"/>
            <w:lang w:val="en-US"/>
          </w:rPr>
          <w:tab/>
        </w:r>
        <w:r w:rsidRPr="00F23430">
          <w:rPr>
            <w:rStyle w:val="Hyperlink"/>
            <w:noProof/>
          </w:rPr>
          <w:t>Intake Model definitions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_Toc79496218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730A263" w14:textId="62D61E94" w:rsidR="00617B62" w:rsidRDefault="00617B62">
      <w:pPr>
        <w:pStyle w:val="TOC1"/>
        <w:rPr>
          <w:rFonts w:asciiTheme="minorHAnsi" w:eastAsiaTheme="minorEastAsia" w:hAnsiTheme="minorHAnsi"/>
          <w:noProof/>
          <w:color w:val="auto"/>
          <w:lang w:val="en-US"/>
        </w:rPr>
      </w:pPr>
      <w:hyperlink w:anchor="_Toc79496219" w:history="1">
        <w:r w:rsidRPr="00F23430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/>
            <w:noProof/>
            <w:color w:val="auto"/>
            <w:lang w:val="en-US"/>
          </w:rPr>
          <w:tab/>
        </w:r>
        <w:r w:rsidRPr="00F23430">
          <w:rPr>
            <w:rStyle w:val="Hyperlink"/>
            <w:noProof/>
          </w:rPr>
          <w:t>Maximum number of students that may be admitted to the program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_Toc79496219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FD28D54" w14:textId="3CD28056" w:rsidR="00617B62" w:rsidRDefault="00617B62">
      <w:pPr>
        <w:pStyle w:val="TOC1"/>
        <w:rPr>
          <w:rFonts w:asciiTheme="minorHAnsi" w:eastAsiaTheme="minorEastAsia" w:hAnsiTheme="minorHAnsi"/>
          <w:noProof/>
          <w:color w:val="auto"/>
          <w:lang w:val="en-US"/>
        </w:rPr>
      </w:pPr>
      <w:hyperlink w:anchor="_Toc79496220" w:history="1">
        <w:r w:rsidRPr="00F23430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/>
            <w:noProof/>
            <w:color w:val="auto"/>
            <w:lang w:val="en-US"/>
          </w:rPr>
          <w:tab/>
        </w:r>
        <w:r w:rsidRPr="00F23430">
          <w:rPr>
            <w:rStyle w:val="Hyperlink"/>
            <w:noProof/>
          </w:rPr>
          <w:t>What information is the PTIB looking for about the intake model and class size?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_Toc79496220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B848F6E" w14:textId="35BAB541" w:rsidR="00617B62" w:rsidRDefault="00617B62">
      <w:pPr>
        <w:pStyle w:val="TOC1"/>
        <w:rPr>
          <w:rFonts w:asciiTheme="minorHAnsi" w:eastAsiaTheme="minorEastAsia" w:hAnsiTheme="minorHAnsi"/>
          <w:noProof/>
          <w:color w:val="auto"/>
          <w:lang w:val="en-US"/>
        </w:rPr>
      </w:pPr>
      <w:hyperlink w:anchor="_Toc79496221" w:history="1">
        <w:r w:rsidRPr="00F23430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/>
            <w:noProof/>
            <w:color w:val="auto"/>
            <w:lang w:val="en-US"/>
          </w:rPr>
          <w:tab/>
        </w:r>
        <w:r w:rsidRPr="00F23430">
          <w:rPr>
            <w:rStyle w:val="Hyperlink"/>
            <w:noProof/>
          </w:rPr>
          <w:t>Common problems with intake models in program applications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_Toc79496221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258C39E" w14:textId="77777777" w:rsidR="00BD3ACE" w:rsidRDefault="00521770" w:rsidP="00BD3ACE">
      <w:pPr>
        <w:rPr>
          <w:rStyle w:val="Hyperlink"/>
          <w:rFonts w:ascii="Cambria" w:eastAsiaTheme="minorEastAsia" w:hAnsi="Cambria"/>
          <w:b/>
          <w:bCs/>
          <w:noProof/>
          <w:color w:val="4F81BD" w:themeColor="accent1"/>
          <w:lang w:val="en-US" w:eastAsia="ja-JP"/>
        </w:rPr>
      </w:pPr>
      <w:r w:rsidRPr="00521770">
        <w:rPr>
          <w:rStyle w:val="Hyperlink"/>
          <w:rFonts w:ascii="Cambria" w:eastAsiaTheme="minorEastAsia" w:hAnsi="Cambria"/>
          <w:b/>
          <w:bCs/>
          <w:noProof/>
          <w:color w:val="4F81BD" w:themeColor="accent1"/>
          <w:lang w:val="en-US" w:eastAsia="ja-JP"/>
        </w:rPr>
        <w:fldChar w:fldCharType="end"/>
      </w:r>
    </w:p>
    <w:p w14:paraId="0258C39F" w14:textId="77777777" w:rsidR="00867B71" w:rsidRPr="00867B71" w:rsidRDefault="00890AEE" w:rsidP="00890AEE">
      <w:pPr>
        <w:pStyle w:val="Heading3"/>
        <w:numPr>
          <w:ilvl w:val="0"/>
          <w:numId w:val="2"/>
        </w:numPr>
      </w:pPr>
      <w:bookmarkStart w:id="4" w:name="_Toc79496217"/>
      <w:r w:rsidRPr="00890AEE">
        <w:t xml:space="preserve">What </w:t>
      </w:r>
      <w:r w:rsidR="00AE7923">
        <w:t>is an</w:t>
      </w:r>
      <w:r w:rsidRPr="00890AEE">
        <w:t xml:space="preserve"> Intake Model</w:t>
      </w:r>
      <w:r w:rsidR="00867B71" w:rsidRPr="00867B71">
        <w:t xml:space="preserve">, and why </w:t>
      </w:r>
      <w:r w:rsidR="00AE7923">
        <w:t>is it</w:t>
      </w:r>
      <w:r w:rsidR="00867B71" w:rsidRPr="00867B71">
        <w:t xml:space="preserve"> important?</w:t>
      </w:r>
      <w:bookmarkEnd w:id="2"/>
      <w:bookmarkEnd w:id="3"/>
      <w:bookmarkEnd w:id="4"/>
    </w:p>
    <w:p w14:paraId="0258C3A0" w14:textId="77777777" w:rsidR="00F75E94" w:rsidRDefault="00F75E94" w:rsidP="00D671FF">
      <w:pPr>
        <w:pStyle w:val="Pa1"/>
        <w:rPr>
          <w:rFonts w:ascii="Calibri" w:hAnsi="Calibri" w:cs="Calibri"/>
          <w:sz w:val="22"/>
          <w:szCs w:val="22"/>
        </w:rPr>
      </w:pPr>
    </w:p>
    <w:p w14:paraId="786A4E95" w14:textId="1138BAA5" w:rsidR="004819E1" w:rsidRPr="00AE7923" w:rsidRDefault="00B865C9" w:rsidP="00AE7923">
      <w:pPr>
        <w:spacing w:after="0"/>
        <w:rPr>
          <w:rFonts w:ascii="Calibri" w:hAnsi="Calibri"/>
        </w:rPr>
      </w:pPr>
      <w:r w:rsidRPr="00AE7923">
        <w:rPr>
          <w:rFonts w:ascii="Calibri" w:hAnsi="Calibri"/>
        </w:rPr>
        <w:t xml:space="preserve">The Intake Model is the </w:t>
      </w:r>
      <w:r w:rsidR="00AE7923" w:rsidRPr="00AE7923">
        <w:rPr>
          <w:rFonts w:ascii="Calibri" w:hAnsi="Calibri"/>
        </w:rPr>
        <w:t xml:space="preserve">plan and schedule you </w:t>
      </w:r>
      <w:r w:rsidR="00AE7923">
        <w:rPr>
          <w:rFonts w:ascii="Calibri" w:hAnsi="Calibri"/>
        </w:rPr>
        <w:t>hav</w:t>
      </w:r>
      <w:r w:rsidR="00AE7923" w:rsidRPr="00AE7923">
        <w:rPr>
          <w:rFonts w:ascii="Calibri" w:hAnsi="Calibri"/>
        </w:rPr>
        <w:t xml:space="preserve">e for admitting students to a </w:t>
      </w:r>
      <w:r w:rsidR="00AE7923" w:rsidRPr="00084260">
        <w:rPr>
          <w:rFonts w:ascii="Calibri" w:hAnsi="Calibri"/>
          <w:b/>
        </w:rPr>
        <w:t>single offering</w:t>
      </w:r>
      <w:r w:rsidR="00AE7923" w:rsidRPr="00AE7923">
        <w:rPr>
          <w:rFonts w:ascii="Calibri" w:hAnsi="Calibri"/>
        </w:rPr>
        <w:t xml:space="preserve"> of the program.</w:t>
      </w:r>
      <w:r w:rsidR="00AE7923">
        <w:rPr>
          <w:rFonts w:ascii="Calibri" w:hAnsi="Calibri"/>
        </w:rPr>
        <w:t xml:space="preserve"> It supports student success by ensuring students </w:t>
      </w:r>
      <w:proofErr w:type="gramStart"/>
      <w:r w:rsidR="00AE7923">
        <w:rPr>
          <w:rFonts w:ascii="Calibri" w:hAnsi="Calibri"/>
        </w:rPr>
        <w:t>are able to</w:t>
      </w:r>
      <w:proofErr w:type="gramEnd"/>
      <w:r w:rsidR="00AE7923">
        <w:rPr>
          <w:rFonts w:ascii="Calibri" w:hAnsi="Calibri"/>
        </w:rPr>
        <w:t xml:space="preserve"> take </w:t>
      </w:r>
      <w:r w:rsidR="00750FAD">
        <w:rPr>
          <w:rFonts w:ascii="Calibri" w:hAnsi="Calibri"/>
        </w:rPr>
        <w:t xml:space="preserve">the </w:t>
      </w:r>
      <w:r w:rsidR="00AE7923">
        <w:rPr>
          <w:rFonts w:ascii="Calibri" w:hAnsi="Calibri"/>
        </w:rPr>
        <w:t>courses in the program in an appropriate order</w:t>
      </w:r>
      <w:r w:rsidR="00750FAD">
        <w:rPr>
          <w:rFonts w:ascii="Calibri" w:hAnsi="Calibri"/>
        </w:rPr>
        <w:t>,</w:t>
      </w:r>
      <w:r w:rsidR="00084260">
        <w:rPr>
          <w:rFonts w:ascii="Calibri" w:hAnsi="Calibri"/>
        </w:rPr>
        <w:t xml:space="preserve"> and with a class structure that is appropriate to the teaching methods</w:t>
      </w:r>
      <w:r w:rsidR="00AE7923">
        <w:rPr>
          <w:rFonts w:ascii="Calibri" w:hAnsi="Calibri"/>
        </w:rPr>
        <w:t xml:space="preserve">. </w:t>
      </w:r>
      <w:r w:rsidR="00084260">
        <w:rPr>
          <w:rFonts w:ascii="Calibri" w:hAnsi="Calibri"/>
        </w:rPr>
        <w:t>For example, i</w:t>
      </w:r>
      <w:r w:rsidR="00AE7923">
        <w:rPr>
          <w:rFonts w:ascii="Calibri" w:hAnsi="Calibri"/>
        </w:rPr>
        <w:t xml:space="preserve">n some </w:t>
      </w:r>
      <w:r w:rsidR="00084260">
        <w:rPr>
          <w:rFonts w:ascii="Calibri" w:hAnsi="Calibri"/>
        </w:rPr>
        <w:t>programs</w:t>
      </w:r>
      <w:r w:rsidR="00AE7923">
        <w:rPr>
          <w:rFonts w:ascii="Calibri" w:hAnsi="Calibri"/>
        </w:rPr>
        <w:t xml:space="preserve"> it ensures students have the support of a cohort progressing together</w:t>
      </w:r>
      <w:r w:rsidR="00084260">
        <w:rPr>
          <w:rFonts w:ascii="Calibri" w:hAnsi="Calibri"/>
        </w:rPr>
        <w:t xml:space="preserve"> through the program, enabling them to do group work, partner for labs, engage in role playing exercises, </w:t>
      </w:r>
      <w:proofErr w:type="gramStart"/>
      <w:r w:rsidR="00084260">
        <w:rPr>
          <w:rFonts w:ascii="Calibri" w:hAnsi="Calibri"/>
        </w:rPr>
        <w:t>etc..</w:t>
      </w:r>
      <w:proofErr w:type="gramEnd"/>
      <w:r w:rsidR="00084260">
        <w:rPr>
          <w:rFonts w:ascii="Calibri" w:hAnsi="Calibri"/>
        </w:rPr>
        <w:t xml:space="preserve"> In other programs this may not be important, and the intake model may be chosen to help individual students get quick access to training through more frequent starts.</w:t>
      </w:r>
    </w:p>
    <w:p w14:paraId="0258C3A2" w14:textId="77777777" w:rsidR="00867B71" w:rsidRDefault="00867B71" w:rsidP="007570E2">
      <w:pPr>
        <w:spacing w:after="0"/>
      </w:pPr>
    </w:p>
    <w:p w14:paraId="0258C3A3" w14:textId="77777777" w:rsidR="002546F8" w:rsidRPr="002546F8" w:rsidRDefault="00890AEE" w:rsidP="00890AEE">
      <w:pPr>
        <w:pStyle w:val="Heading3"/>
        <w:numPr>
          <w:ilvl w:val="0"/>
          <w:numId w:val="2"/>
        </w:numPr>
      </w:pPr>
      <w:bookmarkStart w:id="5" w:name="_Toc79496218"/>
      <w:r w:rsidRPr="00890AEE">
        <w:t xml:space="preserve">Intake </w:t>
      </w:r>
      <w:r w:rsidR="001513F3">
        <w:t>M</w:t>
      </w:r>
      <w:r w:rsidRPr="00890AEE">
        <w:t>odel definitions</w:t>
      </w:r>
      <w:bookmarkEnd w:id="5"/>
      <w:r w:rsidR="002546F8">
        <w:t xml:space="preserve"> </w:t>
      </w:r>
    </w:p>
    <w:p w14:paraId="0258C3A4" w14:textId="77777777" w:rsidR="00D671FF" w:rsidRPr="00D671FF" w:rsidRDefault="00D671FF" w:rsidP="00D671FF">
      <w:pPr>
        <w:spacing w:after="0"/>
        <w:rPr>
          <w:rFonts w:ascii="Calibri" w:hAnsi="Calibri"/>
        </w:rPr>
      </w:pPr>
    </w:p>
    <w:p w14:paraId="0258C3A5" w14:textId="37C109BE" w:rsidR="00867B71" w:rsidRDefault="00CD6B77" w:rsidP="00D671FF">
      <w:pPr>
        <w:spacing w:after="0"/>
        <w:ind w:left="60"/>
      </w:pPr>
      <w:r>
        <w:t xml:space="preserve">There are two types of intake models </w:t>
      </w:r>
      <w:r w:rsidR="0005063D" w:rsidRPr="00D1544F">
        <w:t>defined in the Private Training Regulation:</w:t>
      </w:r>
    </w:p>
    <w:p w14:paraId="039F7E3E" w14:textId="77777777" w:rsidR="00DB46CD" w:rsidRPr="00D1544F" w:rsidRDefault="00DB46CD" w:rsidP="00D671FF">
      <w:pPr>
        <w:spacing w:after="0"/>
        <w:ind w:left="60"/>
      </w:pPr>
    </w:p>
    <w:p w14:paraId="5313DAA2" w14:textId="77777777" w:rsidR="00DB46CD" w:rsidRPr="00750FAD" w:rsidRDefault="00DB46CD" w:rsidP="00DB46CD">
      <w:pPr>
        <w:autoSpaceDE w:val="0"/>
        <w:autoSpaceDN w:val="0"/>
        <w:adjustRightInd w:val="0"/>
        <w:spacing w:after="0"/>
        <w:rPr>
          <w:rFonts w:ascii="Calibri" w:hAnsi="Calibri"/>
          <w:i/>
        </w:rPr>
      </w:pPr>
      <w:r w:rsidRPr="00750FAD">
        <w:rPr>
          <w:rFonts w:ascii="Calibri" w:hAnsi="Calibri"/>
          <w:i/>
        </w:rPr>
        <w:t>"</w:t>
      </w:r>
      <w:r w:rsidRPr="00750FAD">
        <w:rPr>
          <w:rFonts w:ascii="Calibri" w:hAnsi="Calibri"/>
          <w:b/>
          <w:i/>
        </w:rPr>
        <w:t>intermittent</w:t>
      </w:r>
      <w:r w:rsidRPr="00750FAD">
        <w:rPr>
          <w:rFonts w:ascii="Calibri" w:hAnsi="Calibri"/>
          <w:i/>
        </w:rPr>
        <w:t xml:space="preserve"> intake model" means a student intake model in which students are admitted into a program of instruction at particular times of the </w:t>
      </w:r>
      <w:proofErr w:type="gramStart"/>
      <w:r w:rsidRPr="00750FAD">
        <w:rPr>
          <w:rFonts w:ascii="Calibri" w:hAnsi="Calibri"/>
          <w:i/>
        </w:rPr>
        <w:t>year;</w:t>
      </w:r>
      <w:proofErr w:type="gramEnd"/>
    </w:p>
    <w:p w14:paraId="3BB75790" w14:textId="77777777" w:rsidR="00DB46CD" w:rsidRPr="00890AEE" w:rsidRDefault="00DB46CD" w:rsidP="00DB46CD">
      <w:pPr>
        <w:spacing w:after="0"/>
        <w:ind w:left="60"/>
        <w:rPr>
          <w:highlight w:val="yellow"/>
        </w:rPr>
      </w:pPr>
    </w:p>
    <w:p w14:paraId="3F47ABF3" w14:textId="77777777" w:rsidR="00850F3F" w:rsidRDefault="00DB46CD" w:rsidP="00DB46CD">
      <w:pPr>
        <w:spacing w:after="0"/>
        <w:ind w:left="60"/>
      </w:pPr>
      <w:r>
        <w:t xml:space="preserve">In an intermittent model, a student may start only at specific points in the program. </w:t>
      </w:r>
      <w:r w:rsidR="00850F3F">
        <w:t xml:space="preserve">It is the appropriate model for most programs, including distance delivery using synchronous teaching methods. </w:t>
      </w:r>
    </w:p>
    <w:p w14:paraId="784E762E" w14:textId="77777777" w:rsidR="00850F3F" w:rsidRDefault="00850F3F" w:rsidP="00DB46CD">
      <w:pPr>
        <w:spacing w:after="0"/>
        <w:ind w:left="60"/>
      </w:pPr>
    </w:p>
    <w:p w14:paraId="03A6F992" w14:textId="3B9C5AA6" w:rsidR="00DB46CD" w:rsidRDefault="00DB46CD" w:rsidP="00DB46CD">
      <w:pPr>
        <w:spacing w:after="0"/>
        <w:ind w:left="60"/>
      </w:pPr>
      <w:r>
        <w:t xml:space="preserve">Many programs have a single intake point with all students starting together. Some programs have multiple intermittent intake points, </w:t>
      </w:r>
      <w:proofErr w:type="gramStart"/>
      <w:r>
        <w:t>e.g.</w:t>
      </w:r>
      <w:proofErr w:type="gramEnd"/>
      <w:r>
        <w:t xml:space="preserve"> at the start of each course, or at the start of each term. Multiple intermittent </w:t>
      </w:r>
      <w:proofErr w:type="gramStart"/>
      <w:r>
        <w:t>intake</w:t>
      </w:r>
      <w:proofErr w:type="gramEnd"/>
      <w:r>
        <w:t xml:space="preserve"> starting points may work for programs in which courses or course blocks may be taken in any order. </w:t>
      </w:r>
    </w:p>
    <w:p w14:paraId="0258C3A6" w14:textId="77777777" w:rsidR="0005063D" w:rsidRDefault="0005063D" w:rsidP="00D671FF">
      <w:pPr>
        <w:spacing w:after="0"/>
        <w:ind w:left="60"/>
        <w:rPr>
          <w:highlight w:val="yellow"/>
        </w:rPr>
      </w:pPr>
    </w:p>
    <w:p w14:paraId="0258C3A7" w14:textId="77777777" w:rsidR="0005063D" w:rsidRPr="00750FAD" w:rsidRDefault="0005063D" w:rsidP="001513F3">
      <w:pPr>
        <w:autoSpaceDE w:val="0"/>
        <w:autoSpaceDN w:val="0"/>
        <w:adjustRightInd w:val="0"/>
        <w:spacing w:after="0"/>
        <w:rPr>
          <w:rFonts w:ascii="Calibri" w:hAnsi="Calibri"/>
          <w:i/>
        </w:rPr>
      </w:pPr>
      <w:r w:rsidRPr="00750FAD">
        <w:rPr>
          <w:rFonts w:ascii="Calibri" w:hAnsi="Calibri"/>
          <w:i/>
        </w:rPr>
        <w:t>"</w:t>
      </w:r>
      <w:r w:rsidRPr="00750FAD">
        <w:rPr>
          <w:rFonts w:ascii="Calibri" w:hAnsi="Calibri"/>
          <w:b/>
          <w:i/>
        </w:rPr>
        <w:t>continuous</w:t>
      </w:r>
      <w:r w:rsidRPr="00750FAD">
        <w:rPr>
          <w:rFonts w:ascii="Calibri" w:hAnsi="Calibri"/>
          <w:i/>
        </w:rPr>
        <w:t xml:space="preserve"> intake model" means a student intake model in which there is</w:t>
      </w:r>
      <w:r w:rsidR="001513F3" w:rsidRPr="00750FAD">
        <w:rPr>
          <w:rFonts w:ascii="Calibri" w:hAnsi="Calibri"/>
          <w:i/>
        </w:rPr>
        <w:t xml:space="preserve"> </w:t>
      </w:r>
      <w:r w:rsidRPr="00750FAD">
        <w:rPr>
          <w:rFonts w:ascii="Calibri" w:hAnsi="Calibri"/>
          <w:i/>
        </w:rPr>
        <w:t xml:space="preserve">continuous admission of students throughout a program of </w:t>
      </w:r>
      <w:proofErr w:type="gramStart"/>
      <w:r w:rsidRPr="00750FAD">
        <w:rPr>
          <w:rFonts w:ascii="Calibri" w:hAnsi="Calibri"/>
          <w:i/>
        </w:rPr>
        <w:t>instruction;</w:t>
      </w:r>
      <w:proofErr w:type="gramEnd"/>
    </w:p>
    <w:p w14:paraId="0258C3A8" w14:textId="77777777" w:rsidR="0005063D" w:rsidRDefault="0005063D" w:rsidP="0005063D">
      <w:pPr>
        <w:spacing w:after="0"/>
        <w:ind w:left="60"/>
        <w:rPr>
          <w:rFonts w:ascii="Calibri" w:hAnsi="Calibri"/>
        </w:rPr>
      </w:pPr>
    </w:p>
    <w:p w14:paraId="0258C3AA" w14:textId="14E47688" w:rsidR="00750FAD" w:rsidRPr="001513F3" w:rsidRDefault="00750FAD" w:rsidP="0005063D">
      <w:pPr>
        <w:spacing w:after="0"/>
        <w:ind w:left="60"/>
        <w:rPr>
          <w:rFonts w:ascii="Calibri" w:hAnsi="Calibri"/>
        </w:rPr>
      </w:pPr>
      <w:r>
        <w:rPr>
          <w:rFonts w:ascii="Calibri" w:hAnsi="Calibri"/>
        </w:rPr>
        <w:t xml:space="preserve">In a continuous intake model, a student may start at </w:t>
      </w:r>
      <w:r w:rsidRPr="004600F3">
        <w:rPr>
          <w:rFonts w:ascii="Calibri" w:hAnsi="Calibri"/>
          <w:i/>
          <w:iCs/>
        </w:rPr>
        <w:t>any</w:t>
      </w:r>
      <w:r>
        <w:rPr>
          <w:rFonts w:ascii="Calibri" w:hAnsi="Calibri"/>
        </w:rPr>
        <w:t xml:space="preserve"> time. This </w:t>
      </w:r>
      <w:r w:rsidR="006B3885">
        <w:rPr>
          <w:rFonts w:ascii="Calibri" w:hAnsi="Calibri"/>
        </w:rPr>
        <w:t xml:space="preserve">may be </w:t>
      </w:r>
      <w:r>
        <w:rPr>
          <w:rFonts w:ascii="Calibri" w:hAnsi="Calibri"/>
        </w:rPr>
        <w:t xml:space="preserve">appropriate </w:t>
      </w:r>
      <w:r w:rsidR="001D36D5">
        <w:rPr>
          <w:rFonts w:ascii="Calibri" w:hAnsi="Calibri"/>
        </w:rPr>
        <w:t xml:space="preserve">for </w:t>
      </w:r>
      <w:r>
        <w:rPr>
          <w:rFonts w:ascii="Calibri" w:hAnsi="Calibri"/>
        </w:rPr>
        <w:t>self-paced learning</w:t>
      </w:r>
      <w:r w:rsidR="002312F9">
        <w:rPr>
          <w:rFonts w:ascii="Calibri" w:hAnsi="Calibri"/>
        </w:rPr>
        <w:t>,</w:t>
      </w:r>
      <w:r>
        <w:rPr>
          <w:rFonts w:ascii="Calibri" w:hAnsi="Calibri"/>
        </w:rPr>
        <w:t xml:space="preserve"> distance delivery</w:t>
      </w:r>
      <w:r w:rsidR="002312F9" w:rsidRPr="002312F9">
        <w:rPr>
          <w:rFonts w:ascii="Calibri" w:hAnsi="Calibri"/>
        </w:rPr>
        <w:t xml:space="preserve"> </w:t>
      </w:r>
      <w:r w:rsidR="002312F9">
        <w:rPr>
          <w:rFonts w:ascii="Calibri" w:hAnsi="Calibri"/>
        </w:rPr>
        <w:t>using asynchronous teaching methods, or for language training</w:t>
      </w:r>
      <w:r>
        <w:rPr>
          <w:rFonts w:ascii="Calibri" w:hAnsi="Calibri"/>
        </w:rPr>
        <w:t xml:space="preserve">. </w:t>
      </w:r>
    </w:p>
    <w:p w14:paraId="2155B19A" w14:textId="77777777" w:rsidR="004819E1" w:rsidRDefault="004819E1" w:rsidP="00D671FF">
      <w:pPr>
        <w:spacing w:after="0"/>
        <w:ind w:left="60"/>
      </w:pPr>
    </w:p>
    <w:p w14:paraId="0258C3AE" w14:textId="4612E6A1" w:rsidR="00BE3807" w:rsidRPr="00DC3C00" w:rsidRDefault="00890AEE" w:rsidP="00890AEE">
      <w:pPr>
        <w:pStyle w:val="Heading3"/>
        <w:numPr>
          <w:ilvl w:val="0"/>
          <w:numId w:val="2"/>
        </w:numPr>
      </w:pPr>
      <w:bookmarkStart w:id="6" w:name="_Toc79496219"/>
      <w:r w:rsidRPr="00890AEE">
        <w:t xml:space="preserve">Maximum </w:t>
      </w:r>
      <w:r w:rsidR="00850F3F" w:rsidRPr="004600F3">
        <w:t>number of students that may be admitted to the program</w:t>
      </w:r>
      <w:bookmarkEnd w:id="6"/>
    </w:p>
    <w:p w14:paraId="0258C3AF" w14:textId="77777777" w:rsidR="00BE3807" w:rsidRDefault="00BE3807" w:rsidP="00D671FF">
      <w:pPr>
        <w:spacing w:after="0"/>
        <w:ind w:left="60"/>
      </w:pPr>
    </w:p>
    <w:p w14:paraId="50F9B81E" w14:textId="5F1053B8" w:rsidR="003D6D32" w:rsidRDefault="00EB787C" w:rsidP="00D671FF">
      <w:pPr>
        <w:spacing w:after="0"/>
        <w:ind w:left="60"/>
      </w:pPr>
      <w:r>
        <w:t>This</w:t>
      </w:r>
      <w:r w:rsidR="00750FAD">
        <w:t xml:space="preserve"> is the </w:t>
      </w:r>
      <w:r>
        <w:t xml:space="preserve">highest </w:t>
      </w:r>
      <w:r w:rsidR="00750FAD">
        <w:t xml:space="preserve">number of students that may </w:t>
      </w:r>
      <w:r w:rsidR="00850F3F">
        <w:t xml:space="preserve">be enrolled in </w:t>
      </w:r>
      <w:proofErr w:type="gramStart"/>
      <w:r w:rsidR="00850F3F">
        <w:t>an</w:t>
      </w:r>
      <w:proofErr w:type="gramEnd"/>
      <w:r w:rsidR="00850F3F">
        <w:t xml:space="preserve"> </w:t>
      </w:r>
      <w:r w:rsidR="00850F3F" w:rsidRPr="004600F3">
        <w:rPr>
          <w:b/>
          <w:bCs/>
        </w:rPr>
        <w:t>single offering</w:t>
      </w:r>
      <w:r w:rsidR="00850F3F">
        <w:t xml:space="preserve"> </w:t>
      </w:r>
      <w:r w:rsidR="007A157D" w:rsidRPr="004600F3">
        <w:rPr>
          <w:b/>
          <w:bCs/>
        </w:rPr>
        <w:t>or cohort</w:t>
      </w:r>
      <w:r w:rsidR="007A157D">
        <w:t xml:space="preserve"> </w:t>
      </w:r>
      <w:r w:rsidR="00850F3F">
        <w:t>of the program</w:t>
      </w:r>
      <w:r w:rsidR="007A157D">
        <w:t>,</w:t>
      </w:r>
      <w:r w:rsidR="00850F3F">
        <w:t xml:space="preserve"> </w:t>
      </w:r>
      <w:r w:rsidR="00850F3F" w:rsidRPr="004600F3">
        <w:rPr>
          <w:b/>
          <w:bCs/>
        </w:rPr>
        <w:t xml:space="preserve">or </w:t>
      </w:r>
      <w:r w:rsidR="007A157D">
        <w:t xml:space="preserve">(for programs with self-paced or </w:t>
      </w:r>
      <w:proofErr w:type="spellStart"/>
      <w:r w:rsidR="007A157D">
        <w:t>asynchronour</w:t>
      </w:r>
      <w:proofErr w:type="spellEnd"/>
      <w:r w:rsidR="007A157D">
        <w:t xml:space="preserve"> teaching methods) </w:t>
      </w:r>
      <w:r w:rsidR="00850F3F" w:rsidRPr="004600F3">
        <w:rPr>
          <w:b/>
          <w:bCs/>
        </w:rPr>
        <w:t>at any one time</w:t>
      </w:r>
      <w:r>
        <w:t xml:space="preserve">. </w:t>
      </w:r>
      <w:r w:rsidR="003D6D32">
        <w:t xml:space="preserve">This is </w:t>
      </w:r>
      <w:r w:rsidR="003D6D32" w:rsidRPr="00EA07CC">
        <w:rPr>
          <w:i/>
          <w:iCs/>
        </w:rPr>
        <w:t>not</w:t>
      </w:r>
      <w:r w:rsidR="003D6D32">
        <w:t xml:space="preserve"> asking about how many times the program will be offered in a year. </w:t>
      </w:r>
    </w:p>
    <w:p w14:paraId="3C1F17F4" w14:textId="77777777" w:rsidR="003D6D32" w:rsidRDefault="003D6D32" w:rsidP="00D671FF">
      <w:pPr>
        <w:spacing w:after="0"/>
        <w:ind w:left="60"/>
      </w:pPr>
    </w:p>
    <w:p w14:paraId="1F62C9D5" w14:textId="17696D13" w:rsidR="007A157D" w:rsidRDefault="003D6D32" w:rsidP="00D671FF">
      <w:pPr>
        <w:spacing w:after="0"/>
        <w:ind w:left="60"/>
      </w:pPr>
      <w:r w:rsidRPr="003D6D32">
        <w:lastRenderedPageBreak/>
        <w:t>Maximum number of students that may be admitted to the program</w:t>
      </w:r>
      <w:r w:rsidR="00EB787C">
        <w:t xml:space="preserve"> is determined by </w:t>
      </w:r>
      <w:r w:rsidR="007A157D">
        <w:t xml:space="preserve">various </w:t>
      </w:r>
      <w:r w:rsidR="00EB787C">
        <w:t>factors</w:t>
      </w:r>
      <w:r w:rsidR="007A157D">
        <w:t>,</w:t>
      </w:r>
      <w:r w:rsidR="00EB787C">
        <w:t xml:space="preserve"> including</w:t>
      </w:r>
      <w:r w:rsidR="007A157D">
        <w:t>:</w:t>
      </w:r>
    </w:p>
    <w:p w14:paraId="70BA5D0A" w14:textId="77777777" w:rsidR="003D6D32" w:rsidRDefault="00EB787C" w:rsidP="007A157D">
      <w:pPr>
        <w:pStyle w:val="ListParagraph"/>
        <w:numPr>
          <w:ilvl w:val="0"/>
          <w:numId w:val="5"/>
        </w:numPr>
        <w:spacing w:after="0"/>
      </w:pPr>
      <w:r>
        <w:t>appropriate student/instructor ratio and/or student group size for the curriculum</w:t>
      </w:r>
      <w:r w:rsidR="003D6D32" w:rsidRPr="003D6D32">
        <w:t xml:space="preserve"> </w:t>
      </w:r>
    </w:p>
    <w:p w14:paraId="5E25DD00" w14:textId="2054CFF3" w:rsidR="007A157D" w:rsidRDefault="003D6D32" w:rsidP="007A157D">
      <w:pPr>
        <w:pStyle w:val="ListParagraph"/>
        <w:numPr>
          <w:ilvl w:val="0"/>
          <w:numId w:val="5"/>
        </w:numPr>
        <w:spacing w:after="0"/>
      </w:pPr>
      <w:r>
        <w:t>size of classrooms</w:t>
      </w:r>
    </w:p>
    <w:p w14:paraId="5E5569B6" w14:textId="38903894" w:rsidR="007A157D" w:rsidRDefault="00EB787C" w:rsidP="007A157D">
      <w:pPr>
        <w:pStyle w:val="ListParagraph"/>
        <w:numPr>
          <w:ilvl w:val="0"/>
          <w:numId w:val="5"/>
        </w:numPr>
        <w:spacing w:after="0"/>
      </w:pPr>
      <w:r>
        <w:t>space/facilities/equipment required for learning and practicing applied skills</w:t>
      </w:r>
    </w:p>
    <w:p w14:paraId="0FD747A2" w14:textId="659A37FF" w:rsidR="003D6D32" w:rsidRDefault="003D6D32" w:rsidP="007A157D">
      <w:pPr>
        <w:pStyle w:val="ListParagraph"/>
        <w:numPr>
          <w:ilvl w:val="0"/>
          <w:numId w:val="5"/>
        </w:numPr>
        <w:spacing w:after="0"/>
      </w:pPr>
      <w:r>
        <w:t xml:space="preserve">for distance delivery: instructor capacity, technical and tech support capacity, and administrative support </w:t>
      </w:r>
      <w:r w:rsidR="00617B62">
        <w:t>capacity</w:t>
      </w:r>
    </w:p>
    <w:p w14:paraId="4694DE2F" w14:textId="45673BFE" w:rsidR="007A157D" w:rsidRDefault="007A157D" w:rsidP="007A157D">
      <w:pPr>
        <w:pStyle w:val="ListParagraph"/>
        <w:numPr>
          <w:ilvl w:val="0"/>
          <w:numId w:val="5"/>
        </w:numPr>
        <w:spacing w:after="0"/>
      </w:pPr>
      <w:r>
        <w:t>agreements with suitable hosts for programs with work experience, if applicable</w:t>
      </w:r>
    </w:p>
    <w:p w14:paraId="133F30C0" w14:textId="77777777" w:rsidR="008D46EB" w:rsidRDefault="008D46EB" w:rsidP="00D671FF">
      <w:pPr>
        <w:spacing w:after="0"/>
        <w:ind w:left="60"/>
      </w:pPr>
    </w:p>
    <w:p w14:paraId="0258C3B2" w14:textId="04C7A691" w:rsidR="000B43A6" w:rsidRDefault="000B43A6" w:rsidP="00205219">
      <w:pPr>
        <w:pStyle w:val="Heading3"/>
        <w:numPr>
          <w:ilvl w:val="0"/>
          <w:numId w:val="2"/>
        </w:numPr>
      </w:pPr>
      <w:bookmarkStart w:id="7" w:name="_Toc507494751"/>
      <w:bookmarkStart w:id="8" w:name="_Toc507495498"/>
      <w:bookmarkStart w:id="9" w:name="_Toc79496220"/>
      <w:r>
        <w:t xml:space="preserve">What </w:t>
      </w:r>
      <w:r w:rsidR="001C6B86">
        <w:t xml:space="preserve">information </w:t>
      </w:r>
      <w:r>
        <w:t xml:space="preserve">is the PTIB looking for </w:t>
      </w:r>
      <w:r w:rsidR="008D46EB">
        <w:t xml:space="preserve">about </w:t>
      </w:r>
      <w:r>
        <w:t xml:space="preserve">the </w:t>
      </w:r>
      <w:r w:rsidR="00890AEE">
        <w:t>intake model and class size</w:t>
      </w:r>
      <w:r>
        <w:t>?</w:t>
      </w:r>
      <w:bookmarkEnd w:id="7"/>
      <w:bookmarkEnd w:id="8"/>
      <w:bookmarkEnd w:id="9"/>
    </w:p>
    <w:p w14:paraId="0258C3B3" w14:textId="77777777" w:rsidR="002159C6" w:rsidRDefault="002159C6" w:rsidP="000D4DD6">
      <w:pPr>
        <w:spacing w:after="0"/>
        <w:ind w:left="60"/>
      </w:pPr>
    </w:p>
    <w:p w14:paraId="0258C3B4" w14:textId="7A8DA645" w:rsidR="00C165DC" w:rsidRDefault="008D46EB" w:rsidP="000D4DD6">
      <w:pPr>
        <w:spacing w:after="0"/>
        <w:ind w:left="60"/>
      </w:pPr>
      <w:r>
        <w:t>These elements</w:t>
      </w:r>
      <w:r w:rsidR="006152FB">
        <w:t xml:space="preserve"> </w:t>
      </w:r>
      <w:r>
        <w:t xml:space="preserve">of an application </w:t>
      </w:r>
      <w:r w:rsidR="00363D65">
        <w:t>tell us at what point(s) in the program students will start their studies</w:t>
      </w:r>
      <w:r w:rsidR="004819E1">
        <w:t xml:space="preserve">, </w:t>
      </w:r>
      <w:r w:rsidR="00363D65">
        <w:t xml:space="preserve">whether new students </w:t>
      </w:r>
      <w:r w:rsidR="007A157D">
        <w:t xml:space="preserve">may </w:t>
      </w:r>
      <w:r w:rsidR="00363D65">
        <w:t>be joining a program already in progress</w:t>
      </w:r>
      <w:r w:rsidR="004819E1">
        <w:t xml:space="preserve">, </w:t>
      </w:r>
      <w:r w:rsidR="00363D65">
        <w:t>and if so, how often</w:t>
      </w:r>
      <w:r w:rsidR="007A157D">
        <w:t xml:space="preserve"> and </w:t>
      </w:r>
      <w:r w:rsidR="00C165DC">
        <w:t>at what points</w:t>
      </w:r>
      <w:r w:rsidR="004819E1">
        <w:t xml:space="preserve">, </w:t>
      </w:r>
      <w:r w:rsidR="00363D65">
        <w:t xml:space="preserve">and the maximum number of students in the program at any one time. </w:t>
      </w:r>
    </w:p>
    <w:p w14:paraId="0258C3B5" w14:textId="77777777" w:rsidR="00C165DC" w:rsidRDefault="00C165DC" w:rsidP="000D4DD6">
      <w:pPr>
        <w:spacing w:after="0"/>
        <w:ind w:left="60"/>
      </w:pPr>
    </w:p>
    <w:p w14:paraId="54D20D18" w14:textId="77777777" w:rsidR="007A157D" w:rsidRDefault="00C165DC" w:rsidP="000D4DD6">
      <w:pPr>
        <w:spacing w:after="0"/>
        <w:ind w:left="60"/>
      </w:pPr>
      <w:r>
        <w:t>Intake model considerations include course progression/order in which material is taught</w:t>
      </w:r>
      <w:r w:rsidR="004819E1">
        <w:t xml:space="preserve">, </w:t>
      </w:r>
      <w:r>
        <w:t>classroom dynamics and teaching methods used</w:t>
      </w:r>
      <w:r w:rsidR="004819E1">
        <w:t xml:space="preserve">, </w:t>
      </w:r>
      <w:r>
        <w:t xml:space="preserve">and any </w:t>
      </w:r>
      <w:r w:rsidR="00384D87">
        <w:t xml:space="preserve">other consideration </w:t>
      </w:r>
      <w:r>
        <w:t xml:space="preserve">relevant to the specific program. </w:t>
      </w:r>
    </w:p>
    <w:p w14:paraId="42C60504" w14:textId="77777777" w:rsidR="007A157D" w:rsidRDefault="007A157D" w:rsidP="000D4DD6">
      <w:pPr>
        <w:spacing w:after="0"/>
        <w:ind w:left="60"/>
      </w:pPr>
    </w:p>
    <w:p w14:paraId="0258C3B6" w14:textId="194D3A65" w:rsidR="00D1544F" w:rsidRDefault="0007383A" w:rsidP="000D4DD6">
      <w:pPr>
        <w:spacing w:after="0"/>
        <w:ind w:left="60"/>
      </w:pPr>
      <w:r>
        <w:t>C</w:t>
      </w:r>
      <w:r w:rsidR="00C165DC">
        <w:t>lass size c</w:t>
      </w:r>
      <w:r>
        <w:t xml:space="preserve">onsiderations include </w:t>
      </w:r>
      <w:r w:rsidR="00C165DC">
        <w:t>student/instructor ratio</w:t>
      </w:r>
      <w:r w:rsidR="004819E1">
        <w:t xml:space="preserve">, </w:t>
      </w:r>
      <w:r w:rsidR="00C165DC">
        <w:t xml:space="preserve">capacity of </w:t>
      </w:r>
      <w:r>
        <w:t>facilities and equipment</w:t>
      </w:r>
      <w:r w:rsidR="004819E1">
        <w:t xml:space="preserve">, </w:t>
      </w:r>
      <w:r w:rsidR="00384D87">
        <w:t xml:space="preserve">sufficiency of </w:t>
      </w:r>
      <w:r>
        <w:t>materials for students and instructors</w:t>
      </w:r>
      <w:r w:rsidR="004819E1">
        <w:t xml:space="preserve">, </w:t>
      </w:r>
      <w:r>
        <w:t>classroom dynamics and teaching methods used</w:t>
      </w:r>
      <w:r w:rsidR="004819E1">
        <w:t xml:space="preserve">, </w:t>
      </w:r>
      <w:r>
        <w:t>and any other</w:t>
      </w:r>
      <w:r w:rsidR="00384D87">
        <w:t xml:space="preserve"> consideration</w:t>
      </w:r>
      <w:r>
        <w:t xml:space="preserve"> relevant to the specific program.</w:t>
      </w:r>
    </w:p>
    <w:p w14:paraId="0258C3B7" w14:textId="77777777" w:rsidR="009533E7" w:rsidRDefault="009533E7" w:rsidP="009533E7">
      <w:pPr>
        <w:spacing w:after="0"/>
        <w:ind w:left="60"/>
      </w:pPr>
    </w:p>
    <w:p w14:paraId="0258C3B8" w14:textId="77777777" w:rsidR="009533E7" w:rsidRDefault="009533E7" w:rsidP="009533E7">
      <w:pPr>
        <w:spacing w:after="0"/>
        <w:ind w:left="60"/>
      </w:pPr>
      <w:r>
        <w:t xml:space="preserve">The Program Evaluator’s comments (if required) must confirm that this intake plan is appropriate to support student success in the program: that all students will have an equal likelihood of achieving the learning objectives no matter when they start the program or which </w:t>
      </w:r>
      <w:proofErr w:type="gramStart"/>
      <w:r>
        <w:t>intake</w:t>
      </w:r>
      <w:proofErr w:type="gramEnd"/>
      <w:r>
        <w:t xml:space="preserve"> they are part of. </w:t>
      </w:r>
    </w:p>
    <w:p w14:paraId="1B9D27A1" w14:textId="77777777" w:rsidR="001C6B86" w:rsidRDefault="001C6B86" w:rsidP="001C6B86">
      <w:pPr>
        <w:spacing w:after="0"/>
      </w:pPr>
    </w:p>
    <w:p w14:paraId="0258C3BA" w14:textId="77777777" w:rsidR="007629CE" w:rsidRDefault="007629CE" w:rsidP="00205219">
      <w:pPr>
        <w:pStyle w:val="Heading3"/>
        <w:numPr>
          <w:ilvl w:val="0"/>
          <w:numId w:val="2"/>
        </w:numPr>
      </w:pPr>
      <w:bookmarkStart w:id="10" w:name="_Toc507494752"/>
      <w:bookmarkStart w:id="11" w:name="_Toc507495499"/>
      <w:bookmarkStart w:id="12" w:name="_Toc79496221"/>
      <w:r>
        <w:t xml:space="preserve">Common problems with </w:t>
      </w:r>
      <w:r w:rsidR="00890AEE">
        <w:t>intake model</w:t>
      </w:r>
      <w:r>
        <w:t xml:space="preserve">s in program </w:t>
      </w:r>
      <w:r w:rsidR="00890AEE">
        <w:t>application</w:t>
      </w:r>
      <w:r>
        <w:t>s</w:t>
      </w:r>
      <w:bookmarkEnd w:id="10"/>
      <w:bookmarkEnd w:id="11"/>
      <w:bookmarkEnd w:id="12"/>
    </w:p>
    <w:p w14:paraId="0258C3BB" w14:textId="77777777" w:rsidR="000B43A6" w:rsidRDefault="000B43A6" w:rsidP="000D4DD6">
      <w:pPr>
        <w:spacing w:after="0"/>
        <w:ind w:left="60"/>
      </w:pPr>
    </w:p>
    <w:p w14:paraId="0258C3BC" w14:textId="6B2BA1D4" w:rsidR="00D47BA6" w:rsidRDefault="00D47BA6" w:rsidP="00157A2F">
      <w:pPr>
        <w:ind w:left="58"/>
      </w:pPr>
      <w:r>
        <w:t xml:space="preserve">PTIB staff may </w:t>
      </w:r>
      <w:r w:rsidR="00157A2F">
        <w:t xml:space="preserve">ask you </w:t>
      </w:r>
      <w:r>
        <w:t xml:space="preserve">to </w:t>
      </w:r>
      <w:r w:rsidR="00890AEE">
        <w:t>clarify</w:t>
      </w:r>
      <w:r>
        <w:t xml:space="preserve"> your </w:t>
      </w:r>
      <w:r w:rsidR="00890AEE">
        <w:t>intake model</w:t>
      </w:r>
      <w:r w:rsidR="00617B62">
        <w:t xml:space="preserve"> information</w:t>
      </w:r>
      <w:r w:rsidR="00890AEE">
        <w:t xml:space="preserve"> if</w:t>
      </w:r>
      <w:r>
        <w:t>:</w:t>
      </w:r>
    </w:p>
    <w:p w14:paraId="12EA0FF1" w14:textId="5D773201" w:rsidR="00617B62" w:rsidRPr="003B514F" w:rsidRDefault="00617B62" w:rsidP="00617B62">
      <w:pPr>
        <w:pStyle w:val="ListParagraph"/>
        <w:numPr>
          <w:ilvl w:val="0"/>
          <w:numId w:val="3"/>
        </w:numPr>
        <w:spacing w:after="0"/>
      </w:pPr>
      <w:r w:rsidRPr="003B514F">
        <w:t xml:space="preserve">The maximum class size doesn’t appear to be supported by the program </w:t>
      </w:r>
      <w:r>
        <w:t xml:space="preserve">and/or institutional </w:t>
      </w:r>
      <w:r w:rsidRPr="003B514F">
        <w:t>resources you have described.</w:t>
      </w:r>
    </w:p>
    <w:p w14:paraId="0258C3BD" w14:textId="6441B608" w:rsidR="00205219" w:rsidRPr="001513F3" w:rsidRDefault="001513F3" w:rsidP="00205219">
      <w:pPr>
        <w:pStyle w:val="ListParagraph"/>
        <w:numPr>
          <w:ilvl w:val="0"/>
          <w:numId w:val="3"/>
        </w:numPr>
        <w:spacing w:after="0"/>
      </w:pPr>
      <w:r w:rsidRPr="001513F3">
        <w:t>I</w:t>
      </w:r>
      <w:r w:rsidR="00617B62">
        <w:t>nformation provided</w:t>
      </w:r>
      <w:r w:rsidRPr="001513F3">
        <w:t xml:space="preserve"> appears to refer to </w:t>
      </w:r>
      <w:r w:rsidR="00617B62" w:rsidRPr="001F3E18">
        <w:t>multiple</w:t>
      </w:r>
      <w:r w:rsidRPr="001F3E18">
        <w:t xml:space="preserve"> </w:t>
      </w:r>
      <w:r w:rsidRPr="004600F3">
        <w:t>separate offerings</w:t>
      </w:r>
      <w:r w:rsidRPr="001513F3">
        <w:t xml:space="preserve"> of the program </w:t>
      </w:r>
      <w:r w:rsidR="00617B62">
        <w:t>(</w:t>
      </w:r>
      <w:proofErr w:type="gramStart"/>
      <w:r w:rsidR="00617B62">
        <w:t>e.g.</w:t>
      </w:r>
      <w:proofErr w:type="gramEnd"/>
      <w:r w:rsidR="00617B62">
        <w:t xml:space="preserve"> the total number </w:t>
      </w:r>
      <w:r w:rsidRPr="001513F3">
        <w:t>you plan to start in a calendar year) rather than to a single offering.</w:t>
      </w:r>
    </w:p>
    <w:p w14:paraId="0258C3C0" w14:textId="042DCE73" w:rsidR="00157A2F" w:rsidRDefault="003B514F" w:rsidP="001C116C">
      <w:pPr>
        <w:pStyle w:val="ListParagraph"/>
        <w:numPr>
          <w:ilvl w:val="0"/>
          <w:numId w:val="3"/>
        </w:numPr>
        <w:spacing w:after="0"/>
      </w:pPr>
      <w:r w:rsidRPr="003B514F">
        <w:t>The intake model appear</w:t>
      </w:r>
      <w:r w:rsidR="00617B62">
        <w:t>s</w:t>
      </w:r>
      <w:r w:rsidRPr="003B514F">
        <w:t xml:space="preserve"> </w:t>
      </w:r>
      <w:r w:rsidR="00617B62">
        <w:t>in</w:t>
      </w:r>
      <w:r w:rsidRPr="003B514F">
        <w:t xml:space="preserve">appropriate for the program structure: </w:t>
      </w:r>
      <w:proofErr w:type="gramStart"/>
      <w:r w:rsidRPr="003B514F">
        <w:t>e.g.</w:t>
      </w:r>
      <w:proofErr w:type="gramEnd"/>
      <w:r w:rsidRPr="003B514F">
        <w:t xml:space="preserve"> continuous intake for an in-class or synchronous online program with courses that must be taken in a specific order. </w:t>
      </w:r>
    </w:p>
    <w:p w14:paraId="0258C3C1" w14:textId="79072493" w:rsidR="003B514F" w:rsidRPr="003B514F" w:rsidRDefault="003B514F" w:rsidP="001C116C">
      <w:pPr>
        <w:pStyle w:val="ListParagraph"/>
        <w:numPr>
          <w:ilvl w:val="0"/>
          <w:numId w:val="3"/>
        </w:numPr>
        <w:spacing w:after="0"/>
      </w:pPr>
      <w:r>
        <w:t>The information provided in the application differs from that in the Program Evaluation report</w:t>
      </w:r>
      <w:r w:rsidR="001F3E18">
        <w:t xml:space="preserve">; if so, we </w:t>
      </w:r>
      <w:r>
        <w:t xml:space="preserve">will need confirmation of the model to be used, and if </w:t>
      </w:r>
      <w:r w:rsidR="00363D65">
        <w:t xml:space="preserve">it is </w:t>
      </w:r>
      <w:r w:rsidR="00110AA9">
        <w:t xml:space="preserve">different from what the </w:t>
      </w:r>
      <w:r w:rsidR="004819E1">
        <w:t xml:space="preserve">evaluator </w:t>
      </w:r>
      <w:r w:rsidR="00110AA9">
        <w:t>originally reviewed, his</w:t>
      </w:r>
      <w:r w:rsidR="001F3E18">
        <w:t>/</w:t>
      </w:r>
      <w:r w:rsidR="00110AA9">
        <w:t>her</w:t>
      </w:r>
      <w:r>
        <w:t xml:space="preserve"> confirmation </w:t>
      </w:r>
      <w:r w:rsidR="00110AA9">
        <w:t xml:space="preserve">that the model to be used is appropriate. </w:t>
      </w:r>
    </w:p>
    <w:p w14:paraId="59259789" w14:textId="77777777" w:rsidR="001F3E18" w:rsidRDefault="001F3E18" w:rsidP="000D4DD6">
      <w:pPr>
        <w:spacing w:after="0"/>
        <w:ind w:left="60"/>
      </w:pPr>
    </w:p>
    <w:p w14:paraId="0258C3C3" w14:textId="77777777" w:rsidR="00C7666E" w:rsidRDefault="00C7666E" w:rsidP="000D4DD6">
      <w:pPr>
        <w:spacing w:after="0"/>
        <w:ind w:left="60"/>
      </w:pPr>
    </w:p>
    <w:p w14:paraId="0258C3C4" w14:textId="77777777" w:rsidR="00F67C5B" w:rsidRPr="00CA306C" w:rsidRDefault="00F67C5B" w:rsidP="00F67C5B">
      <w:pPr>
        <w:pBdr>
          <w:top w:val="single" w:sz="12" w:space="3" w:color="0070C0"/>
          <w:left w:val="single" w:sz="12" w:space="3" w:color="0070C0"/>
          <w:bottom w:val="single" w:sz="12" w:space="4" w:color="0070C0"/>
          <w:right w:val="single" w:sz="12" w:space="3" w:color="0070C0"/>
        </w:pBdr>
        <w:autoSpaceDE w:val="0"/>
        <w:autoSpaceDN w:val="0"/>
        <w:adjustRightInd w:val="0"/>
        <w:rPr>
          <w:rFonts w:ascii="Calibri" w:hAnsi="Calibri"/>
          <w:i/>
          <w:color w:val="0070C0"/>
        </w:rPr>
      </w:pPr>
      <w:r w:rsidRPr="00CA306C">
        <w:rPr>
          <w:rFonts w:ascii="Calibri" w:hAnsi="Calibri"/>
          <w:i/>
          <w:color w:val="0070C0"/>
        </w:rPr>
        <w:t>This is not meant to be an exhaustive list of requirements relating to this subject found in the Private Training Act, Private Training Regulation, and</w:t>
      </w:r>
      <w:r>
        <w:rPr>
          <w:rFonts w:ascii="Calibri" w:hAnsi="Calibri"/>
          <w:i/>
          <w:color w:val="0070C0"/>
        </w:rPr>
        <w:t>/or</w:t>
      </w:r>
      <w:r w:rsidRPr="00CA306C">
        <w:rPr>
          <w:rFonts w:ascii="Calibri" w:hAnsi="Calibri"/>
          <w:i/>
          <w:color w:val="0070C0"/>
        </w:rPr>
        <w:t xml:space="preserve"> Fees and Student Tuition Protection Fund Regulation. </w:t>
      </w:r>
      <w:r>
        <w:rPr>
          <w:rFonts w:ascii="Calibri" w:hAnsi="Calibri"/>
          <w:i/>
          <w:color w:val="0070C0"/>
        </w:rPr>
        <w:br/>
      </w:r>
      <w:r w:rsidRPr="00CA306C">
        <w:rPr>
          <w:rFonts w:ascii="Calibri" w:hAnsi="Calibri"/>
          <w:i/>
          <w:color w:val="0070C0"/>
        </w:rPr>
        <w:t>It is your responsibility to be aware of all regulatory requirements that apply to your business.</w:t>
      </w:r>
    </w:p>
    <w:sectPr w:rsidR="00F67C5B" w:rsidRPr="00CA306C" w:rsidSect="00E23420">
      <w:footerReference w:type="default" r:id="rId11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8C3C7" w14:textId="77777777" w:rsidR="00F75E94" w:rsidRDefault="00F75E94" w:rsidP="00F75E94">
      <w:pPr>
        <w:spacing w:after="0"/>
      </w:pPr>
      <w:r>
        <w:separator/>
      </w:r>
    </w:p>
  </w:endnote>
  <w:endnote w:type="continuationSeparator" w:id="0">
    <w:p w14:paraId="0258C3C8" w14:textId="77777777" w:rsidR="00F75E94" w:rsidRDefault="00F75E94" w:rsidP="00F75E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8C3C9" w14:textId="03CBBBA8" w:rsidR="00F75E94" w:rsidRPr="00462888" w:rsidRDefault="00462888" w:rsidP="00462888">
    <w:pPr>
      <w:pStyle w:val="Footer"/>
      <w:pBdr>
        <w:top w:val="single" w:sz="4" w:space="1" w:color="auto"/>
      </w:pBdr>
      <w:jc w:val="right"/>
      <w:rPr>
        <w:sz w:val="20"/>
      </w:rPr>
    </w:pPr>
    <w:r>
      <w:rPr>
        <w:sz w:val="20"/>
      </w:rPr>
      <w:t xml:space="preserve">Private Training Institutions Branch </w:t>
    </w:r>
    <w:r>
      <w:rPr>
        <w:sz w:val="20"/>
      </w:rPr>
      <w:tab/>
    </w:r>
    <w:r w:rsidRPr="003A28AA">
      <w:rPr>
        <w:sz w:val="20"/>
      </w:rPr>
      <w:t xml:space="preserve">Page </w:t>
    </w:r>
    <w:r w:rsidRPr="003A28AA">
      <w:rPr>
        <w:b/>
        <w:sz w:val="20"/>
      </w:rPr>
      <w:fldChar w:fldCharType="begin"/>
    </w:r>
    <w:r w:rsidRPr="003A28AA">
      <w:rPr>
        <w:b/>
        <w:sz w:val="20"/>
      </w:rPr>
      <w:instrText xml:space="preserve"> PAGE  \* Arabic  \* MERGEFORMAT </w:instrText>
    </w:r>
    <w:r w:rsidRPr="003A28AA">
      <w:rPr>
        <w:b/>
        <w:sz w:val="20"/>
      </w:rPr>
      <w:fldChar w:fldCharType="separate"/>
    </w:r>
    <w:r w:rsidR="00BF41E4">
      <w:rPr>
        <w:b/>
        <w:noProof/>
        <w:sz w:val="20"/>
      </w:rPr>
      <w:t>2</w:t>
    </w:r>
    <w:r w:rsidRPr="003A28AA">
      <w:rPr>
        <w:b/>
        <w:sz w:val="20"/>
      </w:rPr>
      <w:fldChar w:fldCharType="end"/>
    </w:r>
    <w:r w:rsidRPr="003A28AA">
      <w:rPr>
        <w:sz w:val="20"/>
      </w:rPr>
      <w:t xml:space="preserve"> of </w:t>
    </w:r>
    <w:r w:rsidRPr="003A28AA">
      <w:rPr>
        <w:b/>
        <w:sz w:val="20"/>
      </w:rPr>
      <w:fldChar w:fldCharType="begin"/>
    </w:r>
    <w:r w:rsidRPr="003A28AA">
      <w:rPr>
        <w:b/>
        <w:sz w:val="20"/>
      </w:rPr>
      <w:instrText xml:space="preserve"> NUMPAGES  \* Arabic  \* MERGEFORMAT </w:instrText>
    </w:r>
    <w:r w:rsidRPr="003A28AA">
      <w:rPr>
        <w:b/>
        <w:sz w:val="20"/>
      </w:rPr>
      <w:fldChar w:fldCharType="separate"/>
    </w:r>
    <w:r w:rsidR="00BF41E4">
      <w:rPr>
        <w:b/>
        <w:noProof/>
        <w:sz w:val="20"/>
      </w:rPr>
      <w:t>2</w:t>
    </w:r>
    <w:r w:rsidRPr="003A28AA">
      <w:rPr>
        <w:b/>
        <w:sz w:val="20"/>
      </w:rPr>
      <w:fldChar w:fldCharType="end"/>
    </w:r>
    <w:proofErr w:type="gramStart"/>
    <w:r>
      <w:rPr>
        <w:noProof/>
        <w:sz w:val="20"/>
      </w:rPr>
      <w:tab/>
    </w:r>
    <w:r>
      <w:rPr>
        <w:sz w:val="20"/>
      </w:rPr>
      <w:t xml:space="preserve">  </w:t>
    </w:r>
    <w:r w:rsidRPr="00323B12">
      <w:rPr>
        <w:sz w:val="20"/>
      </w:rPr>
      <w:t>20</w:t>
    </w:r>
    <w:r w:rsidR="00136103">
      <w:rPr>
        <w:sz w:val="20"/>
      </w:rPr>
      <w:t>2</w:t>
    </w:r>
    <w:r w:rsidR="001F3E18">
      <w:rPr>
        <w:sz w:val="20"/>
      </w:rPr>
      <w:t>1</w:t>
    </w:r>
    <w:r w:rsidR="00892695">
      <w:rPr>
        <w:sz w:val="20"/>
      </w:rPr>
      <w:t>.</w:t>
    </w:r>
    <w:r w:rsidR="001F3E18">
      <w:rPr>
        <w:sz w:val="20"/>
      </w:rPr>
      <w:t>08.10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8C3C5" w14:textId="77777777" w:rsidR="00F75E94" w:rsidRDefault="00F75E94" w:rsidP="00F75E94">
      <w:pPr>
        <w:spacing w:after="0"/>
      </w:pPr>
      <w:r>
        <w:separator/>
      </w:r>
    </w:p>
  </w:footnote>
  <w:footnote w:type="continuationSeparator" w:id="0">
    <w:p w14:paraId="0258C3C6" w14:textId="77777777" w:rsidR="00F75E94" w:rsidRDefault="00F75E94" w:rsidP="00F75E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A7890"/>
    <w:multiLevelType w:val="hybridMultilevel"/>
    <w:tmpl w:val="22AEC41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863A87"/>
    <w:multiLevelType w:val="hybridMultilevel"/>
    <w:tmpl w:val="187A72D2"/>
    <w:lvl w:ilvl="0" w:tplc="461E70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2A6C0D"/>
    <w:multiLevelType w:val="hybridMultilevel"/>
    <w:tmpl w:val="FB14EA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EDC13F1"/>
    <w:multiLevelType w:val="hybridMultilevel"/>
    <w:tmpl w:val="5750077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981A07"/>
    <w:multiLevelType w:val="hybridMultilevel"/>
    <w:tmpl w:val="706089E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71"/>
    <w:rsid w:val="0004760F"/>
    <w:rsid w:val="0005063D"/>
    <w:rsid w:val="00063074"/>
    <w:rsid w:val="0007383A"/>
    <w:rsid w:val="00084260"/>
    <w:rsid w:val="000B43A6"/>
    <w:rsid w:val="000C4EC0"/>
    <w:rsid w:val="000D41B3"/>
    <w:rsid w:val="000D4DD6"/>
    <w:rsid w:val="000E0A0D"/>
    <w:rsid w:val="00110AA9"/>
    <w:rsid w:val="00136103"/>
    <w:rsid w:val="00136658"/>
    <w:rsid w:val="001513F3"/>
    <w:rsid w:val="0015332E"/>
    <w:rsid w:val="00157A2F"/>
    <w:rsid w:val="00182022"/>
    <w:rsid w:val="001A1D18"/>
    <w:rsid w:val="001B51C5"/>
    <w:rsid w:val="001C116C"/>
    <w:rsid w:val="001C6B86"/>
    <w:rsid w:val="001D36D5"/>
    <w:rsid w:val="001F3E18"/>
    <w:rsid w:val="00205219"/>
    <w:rsid w:val="002159C6"/>
    <w:rsid w:val="002170B0"/>
    <w:rsid w:val="002312F9"/>
    <w:rsid w:val="002546F8"/>
    <w:rsid w:val="002D109F"/>
    <w:rsid w:val="002E1E44"/>
    <w:rsid w:val="00313CA0"/>
    <w:rsid w:val="003302C9"/>
    <w:rsid w:val="00330BB1"/>
    <w:rsid w:val="00363D65"/>
    <w:rsid w:val="00384D87"/>
    <w:rsid w:val="00392F79"/>
    <w:rsid w:val="00395396"/>
    <w:rsid w:val="0039632D"/>
    <w:rsid w:val="003B514F"/>
    <w:rsid w:val="003D34C5"/>
    <w:rsid w:val="003D6D32"/>
    <w:rsid w:val="00410796"/>
    <w:rsid w:val="00423484"/>
    <w:rsid w:val="00454B02"/>
    <w:rsid w:val="004600F3"/>
    <w:rsid w:val="00462888"/>
    <w:rsid w:val="004819E1"/>
    <w:rsid w:val="00511061"/>
    <w:rsid w:val="00521770"/>
    <w:rsid w:val="005327F1"/>
    <w:rsid w:val="00532BED"/>
    <w:rsid w:val="0057389B"/>
    <w:rsid w:val="00574351"/>
    <w:rsid w:val="005802DB"/>
    <w:rsid w:val="005F7348"/>
    <w:rsid w:val="006152FB"/>
    <w:rsid w:val="00616899"/>
    <w:rsid w:val="00617B62"/>
    <w:rsid w:val="00645046"/>
    <w:rsid w:val="006819DD"/>
    <w:rsid w:val="006B3885"/>
    <w:rsid w:val="006C11AB"/>
    <w:rsid w:val="00712714"/>
    <w:rsid w:val="00716353"/>
    <w:rsid w:val="007269E8"/>
    <w:rsid w:val="0073544E"/>
    <w:rsid w:val="00750FAD"/>
    <w:rsid w:val="007570E2"/>
    <w:rsid w:val="007629CE"/>
    <w:rsid w:val="007A157D"/>
    <w:rsid w:val="007E623C"/>
    <w:rsid w:val="00815F8C"/>
    <w:rsid w:val="00850F3F"/>
    <w:rsid w:val="00867B71"/>
    <w:rsid w:val="00890AEE"/>
    <w:rsid w:val="00892695"/>
    <w:rsid w:val="008D2752"/>
    <w:rsid w:val="008D46EB"/>
    <w:rsid w:val="00920953"/>
    <w:rsid w:val="00936432"/>
    <w:rsid w:val="009533E7"/>
    <w:rsid w:val="00970778"/>
    <w:rsid w:val="00A01BC4"/>
    <w:rsid w:val="00A33019"/>
    <w:rsid w:val="00A36D85"/>
    <w:rsid w:val="00A37424"/>
    <w:rsid w:val="00A70659"/>
    <w:rsid w:val="00AA48F7"/>
    <w:rsid w:val="00AE7923"/>
    <w:rsid w:val="00B123E5"/>
    <w:rsid w:val="00B24770"/>
    <w:rsid w:val="00B60B76"/>
    <w:rsid w:val="00B865C9"/>
    <w:rsid w:val="00BD3ACE"/>
    <w:rsid w:val="00BE3807"/>
    <w:rsid w:val="00BF41E4"/>
    <w:rsid w:val="00C165DC"/>
    <w:rsid w:val="00C7666E"/>
    <w:rsid w:val="00CD0031"/>
    <w:rsid w:val="00CD6B77"/>
    <w:rsid w:val="00D1544F"/>
    <w:rsid w:val="00D175BE"/>
    <w:rsid w:val="00D47BA6"/>
    <w:rsid w:val="00D64064"/>
    <w:rsid w:val="00D671FF"/>
    <w:rsid w:val="00D73AF3"/>
    <w:rsid w:val="00DB46CD"/>
    <w:rsid w:val="00DC2457"/>
    <w:rsid w:val="00DC3C00"/>
    <w:rsid w:val="00DD1AB3"/>
    <w:rsid w:val="00E066FA"/>
    <w:rsid w:val="00E11167"/>
    <w:rsid w:val="00E23420"/>
    <w:rsid w:val="00E31991"/>
    <w:rsid w:val="00E34747"/>
    <w:rsid w:val="00E96AE2"/>
    <w:rsid w:val="00E96D0D"/>
    <w:rsid w:val="00EB787C"/>
    <w:rsid w:val="00ED4A32"/>
    <w:rsid w:val="00F67C5B"/>
    <w:rsid w:val="00F75E94"/>
    <w:rsid w:val="00F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8C397"/>
  <w15:docId w15:val="{318B2E05-F2B1-4328-83D2-482118DB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B71"/>
  </w:style>
  <w:style w:type="paragraph" w:styleId="Heading1">
    <w:name w:val="heading 1"/>
    <w:basedOn w:val="Normal"/>
    <w:next w:val="Normal"/>
    <w:link w:val="Heading1Char"/>
    <w:uiPriority w:val="9"/>
    <w:qFormat/>
    <w:rsid w:val="001C1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1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71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B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7B71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customStyle="1" w:styleId="Pa1">
    <w:name w:val="Pa1"/>
    <w:basedOn w:val="Normal"/>
    <w:next w:val="Normal"/>
    <w:uiPriority w:val="99"/>
    <w:rsid w:val="00867B71"/>
    <w:pPr>
      <w:autoSpaceDE w:val="0"/>
      <w:autoSpaceDN w:val="0"/>
      <w:adjustRightInd w:val="0"/>
      <w:spacing w:after="0" w:line="221" w:lineRule="atLeast"/>
    </w:pPr>
    <w:rPr>
      <w:rFonts w:ascii="Swis721 BT" w:hAnsi="Swis721 BT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867B71"/>
    <w:pPr>
      <w:autoSpaceDE w:val="0"/>
      <w:autoSpaceDN w:val="0"/>
      <w:adjustRightInd w:val="0"/>
      <w:spacing w:after="0" w:line="221" w:lineRule="atLeast"/>
    </w:pPr>
    <w:rPr>
      <w:rFonts w:ascii="Swis721 BT" w:hAnsi="Swis721 B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5E9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5E94"/>
  </w:style>
  <w:style w:type="paragraph" w:styleId="Footer">
    <w:name w:val="footer"/>
    <w:basedOn w:val="Normal"/>
    <w:link w:val="FooterChar"/>
    <w:uiPriority w:val="99"/>
    <w:unhideWhenUsed/>
    <w:rsid w:val="00F75E9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5E94"/>
  </w:style>
  <w:style w:type="character" w:styleId="FollowedHyperlink">
    <w:name w:val="FollowedHyperlink"/>
    <w:basedOn w:val="DefaultParagraphFont"/>
    <w:uiPriority w:val="99"/>
    <w:semiHidden/>
    <w:unhideWhenUsed/>
    <w:rsid w:val="00BE380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67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71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C1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aliases w:val="Resource Docs"/>
    <w:basedOn w:val="Normal"/>
    <w:next w:val="Normal"/>
    <w:autoRedefine/>
    <w:uiPriority w:val="39"/>
    <w:unhideWhenUsed/>
    <w:qFormat/>
    <w:rsid w:val="00521770"/>
    <w:pPr>
      <w:tabs>
        <w:tab w:val="left" w:pos="440"/>
        <w:tab w:val="right" w:leader="dot" w:pos="9508"/>
      </w:tabs>
      <w:spacing w:after="0" w:line="276" w:lineRule="auto"/>
    </w:pPr>
    <w:rPr>
      <w:rFonts w:ascii="Cambria" w:hAnsi="Cambria"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C116C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5219"/>
    <w:pPr>
      <w:spacing w:line="276" w:lineRule="auto"/>
      <w:outlineLvl w:val="9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05219"/>
    <w:pPr>
      <w:spacing w:after="100" w:line="276" w:lineRule="auto"/>
      <w:ind w:left="440"/>
    </w:pPr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2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7C5B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4A3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A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4A3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0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7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7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05D7BD1C156428A3458F719C0CDF3" ma:contentTypeVersion="1" ma:contentTypeDescription="Create a new document." ma:contentTypeScope="" ma:versionID="3d1fb7f633acc88464210fc2f5ff1e46">
  <xsd:schema xmlns:xsd="http://www.w3.org/2001/XMLSchema" xmlns:xs="http://www.w3.org/2001/XMLSchema" xmlns:p="http://schemas.microsoft.com/office/2006/metadata/properties" xmlns:ns2="6682aced-9b66-48f6-805a-e3d0773e7390" targetNamespace="http://schemas.microsoft.com/office/2006/metadata/properties" ma:root="true" ma:fieldsID="726f410919cf9cc5ceadd6f08723897a" ns2:_="">
    <xsd:import namespace="6682aced-9b66-48f6-805a-e3d0773e739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2aced-9b66-48f6-805a-e3d0773e73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7897A3-C3DA-4C37-B114-0CD23950C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2aced-9b66-48f6-805a-e3d0773e7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480E8D-348D-430B-BDAD-B6664CAA6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B679D-8EE4-429F-9E91-EB1377CF29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CC973B-B7F5-4465-9545-7F01AF982EF6}">
  <ds:schemaRefs>
    <ds:schemaRef ds:uri="http://purl.org/dc/terms/"/>
    <ds:schemaRef ds:uri="http://www.w3.org/XML/1998/namespace"/>
    <ds:schemaRef ds:uri="6682aced-9b66-48f6-805a-e3d0773e7390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 Models and Class Size Guide</vt:lpstr>
    </vt:vector>
  </TitlesOfParts>
  <Company>Province of British Columbia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Models and Class Size Guide</dc:title>
  <dc:creator>Danielle Baxter</dc:creator>
  <cp:lastModifiedBy>Munro, Kim AEST:EX</cp:lastModifiedBy>
  <cp:revision>3</cp:revision>
  <dcterms:created xsi:type="dcterms:W3CDTF">2021-08-20T20:08:00Z</dcterms:created>
  <dcterms:modified xsi:type="dcterms:W3CDTF">2021-08-20T20:15:00Z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0x010100AE605D7BD1C156428A3458F719C0CDF3</vt:lpwstr>
  </property>
</Properties>
</file>